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36BDC" w14:textId="33D0D204" w:rsidR="001D572A" w:rsidRDefault="001D572A" w:rsidP="001D572A">
      <w:pPr>
        <w:spacing w:after="0" w:line="240" w:lineRule="auto"/>
        <w:jc w:val="center"/>
        <w:rPr>
          <w:b/>
          <w:bCs/>
          <w:noProof/>
          <w:lang w:val="en-US"/>
        </w:rPr>
      </w:pPr>
      <w:r>
        <w:rPr>
          <w:b/>
          <w:bCs/>
          <w:noProof/>
          <w:lang w:val="en-US"/>
        </w:rPr>
        <w:t xml:space="preserve">  </w:t>
      </w:r>
      <w:r>
        <w:rPr>
          <w:b/>
          <w:bCs/>
          <w:noProof/>
          <w:lang w:val="en-US"/>
        </w:rPr>
        <w:drawing>
          <wp:inline distT="0" distB="0" distL="0" distR="0" wp14:anchorId="2C23785A" wp14:editId="11D753AC">
            <wp:extent cx="1235412" cy="883003"/>
            <wp:effectExtent l="0" t="0" r="3175" b="0"/>
            <wp:docPr id="605605352" name="Picture 1" descr="A logo with a triangle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605352" name="Picture 1" descr="A logo with a triangle and a triang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638" cy="891741"/>
                    </a:xfrm>
                    <a:prstGeom prst="rect">
                      <a:avLst/>
                    </a:prstGeom>
                  </pic:spPr>
                </pic:pic>
              </a:graphicData>
            </a:graphic>
          </wp:inline>
        </w:drawing>
      </w:r>
      <w:r>
        <w:rPr>
          <w:b/>
          <w:bCs/>
          <w:noProof/>
          <w:lang w:val="en-US"/>
        </w:rPr>
        <w:t xml:space="preserve">                 </w:t>
      </w:r>
      <w:r>
        <w:rPr>
          <w:b/>
          <w:bCs/>
          <w:noProof/>
          <w:lang w:val="en-US"/>
        </w:rPr>
        <w:drawing>
          <wp:inline distT="0" distB="0" distL="0" distR="0" wp14:anchorId="2F4AFE1A" wp14:editId="747D9C05">
            <wp:extent cx="1109909" cy="872512"/>
            <wp:effectExtent l="0" t="0" r="0" b="3810"/>
            <wp:docPr id="1550712664" name="Picture 2" descr="A logo of a musical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712664" name="Picture 2" descr="A logo of a musical instrumen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0285" cy="880669"/>
                    </a:xfrm>
                    <a:prstGeom prst="rect">
                      <a:avLst/>
                    </a:prstGeom>
                  </pic:spPr>
                </pic:pic>
              </a:graphicData>
            </a:graphic>
          </wp:inline>
        </w:drawing>
      </w:r>
    </w:p>
    <w:p w14:paraId="749EA857" w14:textId="77777777" w:rsidR="001D572A" w:rsidRDefault="001D572A" w:rsidP="001D572A">
      <w:pPr>
        <w:spacing w:after="0" w:line="240" w:lineRule="auto"/>
        <w:jc w:val="center"/>
        <w:rPr>
          <w:b/>
          <w:bCs/>
          <w:noProof/>
          <w:lang w:val="en-US"/>
        </w:rPr>
      </w:pPr>
    </w:p>
    <w:p w14:paraId="59749C42" w14:textId="77777777" w:rsidR="001D572A" w:rsidRDefault="001D572A" w:rsidP="001D572A">
      <w:pPr>
        <w:spacing w:after="0" w:line="240" w:lineRule="auto"/>
        <w:jc w:val="center"/>
        <w:rPr>
          <w:b/>
          <w:bCs/>
          <w:noProof/>
          <w:lang w:val="en-US"/>
        </w:rPr>
      </w:pPr>
    </w:p>
    <w:p w14:paraId="151601EC" w14:textId="2D782058" w:rsidR="001D572A" w:rsidRDefault="001D572A" w:rsidP="001D572A">
      <w:pPr>
        <w:spacing w:after="0" w:line="240" w:lineRule="auto"/>
        <w:jc w:val="center"/>
        <w:rPr>
          <w:b/>
          <w:bCs/>
          <w:lang w:val="en-US"/>
        </w:rPr>
      </w:pPr>
      <w:r w:rsidRPr="001D572A">
        <w:rPr>
          <w:b/>
          <w:bCs/>
          <w:lang w:val="en-US"/>
        </w:rPr>
        <w:t>SWTHA Training</w:t>
      </w:r>
      <w:r>
        <w:rPr>
          <w:b/>
          <w:bCs/>
          <w:lang w:val="en-US"/>
        </w:rPr>
        <w:t xml:space="preserve"> – NSPIRE/HOTMA</w:t>
      </w:r>
      <w:r w:rsidRPr="001D572A">
        <w:rPr>
          <w:b/>
          <w:bCs/>
          <w:lang w:val="en-US"/>
        </w:rPr>
        <w:br/>
        <w:t>January 2</w:t>
      </w:r>
      <w:r>
        <w:rPr>
          <w:b/>
          <w:bCs/>
          <w:lang w:val="en-US"/>
        </w:rPr>
        <w:t>9</w:t>
      </w:r>
      <w:r w:rsidRPr="001D572A">
        <w:rPr>
          <w:b/>
          <w:bCs/>
          <w:lang w:val="en-US"/>
        </w:rPr>
        <w:t>-30, 2025</w:t>
      </w:r>
    </w:p>
    <w:p w14:paraId="70BF668A" w14:textId="7A3922CC" w:rsidR="001D572A" w:rsidRPr="001D572A" w:rsidRDefault="001D572A" w:rsidP="001D572A">
      <w:pPr>
        <w:spacing w:after="0" w:line="240" w:lineRule="auto"/>
        <w:jc w:val="center"/>
        <w:rPr>
          <w:b/>
          <w:bCs/>
          <w:lang w:val="en-US"/>
        </w:rPr>
      </w:pPr>
      <w:r>
        <w:rPr>
          <w:b/>
          <w:bCs/>
          <w:lang w:val="en-US"/>
        </w:rPr>
        <w:t>9:00am – 5:00pm</w:t>
      </w:r>
      <w:r w:rsidRPr="001D572A">
        <w:rPr>
          <w:b/>
          <w:bCs/>
          <w:lang w:val="en-US"/>
        </w:rPr>
        <w:br/>
        <w:t>Isleta Resort and Casino</w:t>
      </w:r>
      <w:r w:rsidRPr="001D572A">
        <w:rPr>
          <w:b/>
          <w:bCs/>
          <w:lang w:val="en-US"/>
        </w:rPr>
        <w:br/>
        <w:t>Albuquerque, NM</w:t>
      </w:r>
    </w:p>
    <w:p w14:paraId="0C50D06B" w14:textId="77777777" w:rsidR="001D572A" w:rsidRDefault="001D572A" w:rsidP="001D572A">
      <w:pPr>
        <w:spacing w:after="0" w:line="240" w:lineRule="auto"/>
        <w:jc w:val="center"/>
        <w:rPr>
          <w:b/>
          <w:bCs/>
          <w:lang w:val="en-US"/>
        </w:rPr>
      </w:pPr>
    </w:p>
    <w:p w14:paraId="2DE13EE9" w14:textId="77777777" w:rsidR="001D572A" w:rsidRDefault="001D572A" w:rsidP="00D60C9C">
      <w:pPr>
        <w:spacing w:after="0" w:line="240" w:lineRule="auto"/>
        <w:rPr>
          <w:b/>
          <w:bCs/>
          <w:lang w:val="en-US"/>
        </w:rPr>
      </w:pPr>
    </w:p>
    <w:p w14:paraId="6468DFCE" w14:textId="035AF028" w:rsidR="001D572A" w:rsidRDefault="001D572A" w:rsidP="00D60C9C">
      <w:pPr>
        <w:spacing w:after="0" w:line="240" w:lineRule="auto"/>
        <w:rPr>
          <w:b/>
          <w:bCs/>
          <w:lang w:val="en-US"/>
        </w:rPr>
      </w:pPr>
      <w:r>
        <w:rPr>
          <w:b/>
          <w:bCs/>
          <w:lang w:val="en-US"/>
        </w:rPr>
        <w:t>Instructor: Crystal Banks Mann, Travois’ Client Engagement Manager</w:t>
      </w:r>
    </w:p>
    <w:p w14:paraId="032130B8" w14:textId="77777777" w:rsidR="001D572A" w:rsidRDefault="001D572A" w:rsidP="00D60C9C">
      <w:pPr>
        <w:spacing w:after="0" w:line="240" w:lineRule="auto"/>
        <w:rPr>
          <w:b/>
          <w:bCs/>
          <w:lang w:val="en-US"/>
        </w:rPr>
      </w:pPr>
    </w:p>
    <w:p w14:paraId="5CAA7F81" w14:textId="6DA3EF3F" w:rsidR="00D60C9C" w:rsidRPr="00D60C9C" w:rsidRDefault="00D60C9C" w:rsidP="00D60C9C">
      <w:pPr>
        <w:spacing w:after="0" w:line="240" w:lineRule="auto"/>
        <w:rPr>
          <w:lang w:val="en-US"/>
        </w:rPr>
      </w:pPr>
      <w:r w:rsidRPr="00D60C9C">
        <w:rPr>
          <w:b/>
          <w:bCs/>
          <w:lang w:val="en-US"/>
        </w:rPr>
        <w:t xml:space="preserve">NSPIRE </w:t>
      </w:r>
      <w:r w:rsidR="001D572A">
        <w:rPr>
          <w:b/>
          <w:bCs/>
          <w:lang w:val="en-US"/>
        </w:rPr>
        <w:t xml:space="preserve">– January 29, 2025 </w:t>
      </w:r>
      <w:r w:rsidRPr="00D60C9C">
        <w:rPr>
          <w:lang w:val="en-US"/>
        </w:rPr>
        <w:t xml:space="preserve">(approx. 7 </w:t>
      </w:r>
      <w:proofErr w:type="spellStart"/>
      <w:r w:rsidRPr="00D60C9C">
        <w:rPr>
          <w:lang w:val="en-US"/>
        </w:rPr>
        <w:t>hr</w:t>
      </w:r>
      <w:proofErr w:type="spellEnd"/>
      <w:r w:rsidRPr="00D60C9C">
        <w:rPr>
          <w:lang w:val="en-US"/>
        </w:rPr>
        <w:t>)</w:t>
      </w:r>
    </w:p>
    <w:p w14:paraId="13EA6629" w14:textId="77777777" w:rsidR="00D60C9C" w:rsidRPr="00D60C9C" w:rsidRDefault="00D60C9C" w:rsidP="00D60C9C">
      <w:pPr>
        <w:spacing w:after="0" w:line="240" w:lineRule="auto"/>
        <w:rPr>
          <w:lang w:val="en-US"/>
        </w:rPr>
      </w:pPr>
      <w:r w:rsidRPr="00D60C9C">
        <w:rPr>
          <w:lang w:val="en-US"/>
        </w:rPr>
        <w:t>Effective Oct. 1, 2023, the National Standards for the Physical Inspection of Real Estate (NSPIRE) replaced HUD’s previous protocols (HQS, UPCS and REAC) for inspecting housing safety. Intended to align and consolidate the prior physical inspection regulations, NSPIRE focuses on three areas: the housing units where HUD assisted residents live, elements of their building’s non-residential interiors and the exteriors of buildings. NSPIRE scoring is focused on the health and safety of the housing units where residents live, as well as on the functional defects of buildings, and deemphasizes scoring based on the appearance of building exteriors. Knowledge of these new standards is essential for TDHEs to pass state and federal physical inspections.</w:t>
      </w:r>
    </w:p>
    <w:p w14:paraId="225DF4C2" w14:textId="77777777" w:rsidR="00D60C9C" w:rsidRPr="00D60C9C" w:rsidRDefault="00D60C9C" w:rsidP="00D60C9C">
      <w:pPr>
        <w:numPr>
          <w:ilvl w:val="0"/>
          <w:numId w:val="1"/>
        </w:numPr>
        <w:spacing w:after="0" w:line="240" w:lineRule="auto"/>
        <w:rPr>
          <w:lang w:val="en-US"/>
        </w:rPr>
      </w:pPr>
      <w:r w:rsidRPr="00D60C9C">
        <w:rPr>
          <w:lang w:val="en-US"/>
        </w:rPr>
        <w:t>Changes to inspection protocol – we will dive into the reasons for the changes and the goals for the new standards.</w:t>
      </w:r>
    </w:p>
    <w:p w14:paraId="0983835B" w14:textId="77777777" w:rsidR="00D60C9C" w:rsidRPr="00D60C9C" w:rsidRDefault="00D60C9C" w:rsidP="00D60C9C">
      <w:pPr>
        <w:numPr>
          <w:ilvl w:val="0"/>
          <w:numId w:val="1"/>
        </w:numPr>
        <w:spacing w:after="0" w:line="240" w:lineRule="auto"/>
        <w:rPr>
          <w:lang w:val="en-US"/>
        </w:rPr>
      </w:pPr>
      <w:r w:rsidRPr="00D60C9C">
        <w:rPr>
          <w:lang w:val="en-US"/>
        </w:rPr>
        <w:t>Scoring and self-monitoring – how best to score using HUD’s adjusted scoring methodology and the new self-monitoring requirements.</w:t>
      </w:r>
    </w:p>
    <w:p w14:paraId="1552FB79" w14:textId="77777777" w:rsidR="00D60C9C" w:rsidRPr="00D60C9C" w:rsidRDefault="00D60C9C" w:rsidP="00D60C9C">
      <w:pPr>
        <w:numPr>
          <w:ilvl w:val="0"/>
          <w:numId w:val="1"/>
        </w:numPr>
        <w:spacing w:after="0" w:line="240" w:lineRule="auto"/>
        <w:rPr>
          <w:lang w:val="en-US"/>
        </w:rPr>
      </w:pPr>
      <w:r w:rsidRPr="00D60C9C">
        <w:rPr>
          <w:lang w:val="en-US"/>
        </w:rPr>
        <w:t>Deficiency examples – in-depth analysis of each NSPIRE deficiency.</w:t>
      </w:r>
    </w:p>
    <w:p w14:paraId="2B861A63" w14:textId="77777777" w:rsidR="00D60C9C" w:rsidRPr="00D60C9C" w:rsidRDefault="00D60C9C" w:rsidP="00D60C9C">
      <w:pPr>
        <w:numPr>
          <w:ilvl w:val="0"/>
          <w:numId w:val="1"/>
        </w:numPr>
        <w:spacing w:after="0" w:line="240" w:lineRule="auto"/>
        <w:rPr>
          <w:lang w:val="en-US"/>
        </w:rPr>
      </w:pPr>
      <w:r w:rsidRPr="00D60C9C">
        <w:rPr>
          <w:lang w:val="en-US"/>
        </w:rPr>
        <w:t>Exam – optional exam to earn NSPIRE Inspection Specialist (NIS) designation.</w:t>
      </w:r>
    </w:p>
    <w:p w14:paraId="52AF221A" w14:textId="1338EB5F" w:rsidR="00D60C9C" w:rsidRPr="00D60C9C" w:rsidRDefault="00D60C9C" w:rsidP="00D60C9C">
      <w:pPr>
        <w:spacing w:after="0" w:line="240" w:lineRule="auto"/>
        <w:rPr>
          <w:lang w:val="en-US"/>
        </w:rPr>
      </w:pPr>
      <w:r w:rsidRPr="00D60C9C">
        <w:rPr>
          <w:b/>
          <w:bCs/>
          <w:lang w:val="en-US"/>
        </w:rPr>
        <w:br/>
        <w:t xml:space="preserve">HOTMA </w:t>
      </w:r>
      <w:r w:rsidR="001D572A">
        <w:rPr>
          <w:b/>
          <w:bCs/>
          <w:lang w:val="en-US"/>
        </w:rPr>
        <w:t xml:space="preserve">- </w:t>
      </w:r>
      <w:r w:rsidR="001D572A">
        <w:rPr>
          <w:b/>
          <w:bCs/>
          <w:lang w:val="en-US"/>
        </w:rPr>
        <w:t xml:space="preserve">January </w:t>
      </w:r>
      <w:r w:rsidR="001D572A">
        <w:rPr>
          <w:b/>
          <w:bCs/>
          <w:lang w:val="en-US"/>
        </w:rPr>
        <w:t>30</w:t>
      </w:r>
      <w:r w:rsidR="001D572A">
        <w:rPr>
          <w:b/>
          <w:bCs/>
          <w:lang w:val="en-US"/>
        </w:rPr>
        <w:t xml:space="preserve">, 2025 </w:t>
      </w:r>
      <w:r w:rsidRPr="00D60C9C">
        <w:rPr>
          <w:lang w:val="en-US"/>
        </w:rPr>
        <w:t xml:space="preserve">(approx. 7 </w:t>
      </w:r>
      <w:proofErr w:type="spellStart"/>
      <w:r w:rsidRPr="00D60C9C">
        <w:rPr>
          <w:lang w:val="en-US"/>
        </w:rPr>
        <w:t>hr</w:t>
      </w:r>
      <w:proofErr w:type="spellEnd"/>
      <w:r w:rsidRPr="00D60C9C">
        <w:rPr>
          <w:lang w:val="en-US"/>
        </w:rPr>
        <w:t>)</w:t>
      </w:r>
    </w:p>
    <w:p w14:paraId="23BC2CFE" w14:textId="77777777" w:rsidR="00D60C9C" w:rsidRPr="00D60C9C" w:rsidRDefault="00D60C9C" w:rsidP="00D60C9C">
      <w:pPr>
        <w:spacing w:after="0" w:line="240" w:lineRule="auto"/>
        <w:rPr>
          <w:lang w:val="en-US"/>
        </w:rPr>
      </w:pPr>
      <w:r w:rsidRPr="00D60C9C">
        <w:rPr>
          <w:lang w:val="en-US"/>
        </w:rPr>
        <w:t>On July 29, 2016, the Housing Opportunity through Modernization Act of 2016 (HOTMA) was signed into law. HOTMA makes numerous amendments to Sections 3, 8 and 16 of the United States Housing Act of 1937, including significant changes to income and rent calculation, net family assets and required deductions. With HUD’s issuance of Notice PIH 2023-34, Tribal Nations and TDHE’s have until Jan. 1, 2025 to implement and come into compliance with the new Part 5 definition of “annual income” under the Indian Housing Block Grant (IHBG) program. During the session, we’ll discuss what this means to your organization’s policies and procedures. We’ll also cover HUD’s final rule implementing Sections 102, 103 and 104 of HOTMA.</w:t>
      </w:r>
    </w:p>
    <w:p w14:paraId="0516D52F" w14:textId="77777777" w:rsidR="00D60C9C" w:rsidRPr="00D60C9C" w:rsidRDefault="00D60C9C" w:rsidP="00D60C9C">
      <w:pPr>
        <w:spacing w:after="0" w:line="240" w:lineRule="auto"/>
        <w:rPr>
          <w:lang w:val="en-US"/>
        </w:rPr>
      </w:pPr>
      <w:r w:rsidRPr="00D60C9C">
        <w:rPr>
          <w:lang w:val="en-US"/>
        </w:rPr>
        <w:t>Topics covered will include:</w:t>
      </w:r>
    </w:p>
    <w:p w14:paraId="232C275B" w14:textId="77777777" w:rsidR="00D60C9C" w:rsidRPr="00D60C9C" w:rsidRDefault="00D60C9C" w:rsidP="001D572A">
      <w:pPr>
        <w:numPr>
          <w:ilvl w:val="1"/>
          <w:numId w:val="2"/>
        </w:numPr>
        <w:tabs>
          <w:tab w:val="num" w:pos="720"/>
        </w:tabs>
        <w:spacing w:after="0" w:line="240" w:lineRule="auto"/>
        <w:ind w:left="720"/>
        <w:rPr>
          <w:lang w:val="en-US"/>
        </w:rPr>
      </w:pPr>
      <w:r w:rsidRPr="00D60C9C">
        <w:rPr>
          <w:lang w:val="en-US"/>
        </w:rPr>
        <w:lastRenderedPageBreak/>
        <w:t>Asset limitation</w:t>
      </w:r>
    </w:p>
    <w:p w14:paraId="6FEE9457" w14:textId="77777777" w:rsidR="00D60C9C" w:rsidRPr="00D60C9C" w:rsidRDefault="00D60C9C" w:rsidP="001D572A">
      <w:pPr>
        <w:numPr>
          <w:ilvl w:val="1"/>
          <w:numId w:val="2"/>
        </w:numPr>
        <w:tabs>
          <w:tab w:val="num" w:pos="720"/>
        </w:tabs>
        <w:spacing w:after="0" w:line="240" w:lineRule="auto"/>
        <w:ind w:left="720"/>
        <w:rPr>
          <w:lang w:val="en-US"/>
        </w:rPr>
      </w:pPr>
      <w:r w:rsidRPr="00D60C9C">
        <w:rPr>
          <w:lang w:val="en-US"/>
        </w:rPr>
        <w:t>Calculating income</w:t>
      </w:r>
    </w:p>
    <w:p w14:paraId="2EBDB5FB" w14:textId="77777777" w:rsidR="00D60C9C" w:rsidRPr="00D60C9C" w:rsidRDefault="00D60C9C" w:rsidP="001D572A">
      <w:pPr>
        <w:numPr>
          <w:ilvl w:val="1"/>
          <w:numId w:val="2"/>
        </w:numPr>
        <w:tabs>
          <w:tab w:val="num" w:pos="720"/>
        </w:tabs>
        <w:spacing w:after="0" w:line="240" w:lineRule="auto"/>
        <w:ind w:left="720"/>
        <w:rPr>
          <w:lang w:val="en-US"/>
        </w:rPr>
      </w:pPr>
      <w:r w:rsidRPr="00D60C9C">
        <w:rPr>
          <w:lang w:val="en-US"/>
        </w:rPr>
        <w:t>Effective/compliance dates</w:t>
      </w:r>
    </w:p>
    <w:p w14:paraId="3EFB3912" w14:textId="77777777" w:rsidR="00D60C9C" w:rsidRPr="00D60C9C" w:rsidRDefault="00D60C9C" w:rsidP="001D572A">
      <w:pPr>
        <w:numPr>
          <w:ilvl w:val="1"/>
          <w:numId w:val="2"/>
        </w:numPr>
        <w:tabs>
          <w:tab w:val="num" w:pos="720"/>
        </w:tabs>
        <w:spacing w:after="0" w:line="240" w:lineRule="auto"/>
        <w:ind w:left="720"/>
        <w:rPr>
          <w:lang w:val="en-US"/>
        </w:rPr>
      </w:pPr>
      <w:r w:rsidRPr="00D60C9C">
        <w:rPr>
          <w:lang w:val="en-US"/>
        </w:rPr>
        <w:t>Household composition</w:t>
      </w:r>
    </w:p>
    <w:p w14:paraId="46C94E0A" w14:textId="77777777" w:rsidR="00D60C9C" w:rsidRPr="00D60C9C" w:rsidRDefault="00D60C9C" w:rsidP="001D572A">
      <w:pPr>
        <w:numPr>
          <w:ilvl w:val="1"/>
          <w:numId w:val="2"/>
        </w:numPr>
        <w:tabs>
          <w:tab w:val="num" w:pos="720"/>
        </w:tabs>
        <w:spacing w:after="0" w:line="240" w:lineRule="auto"/>
        <w:ind w:left="720"/>
        <w:rPr>
          <w:lang w:val="en-US"/>
        </w:rPr>
      </w:pPr>
      <w:r w:rsidRPr="00D60C9C">
        <w:rPr>
          <w:lang w:val="en-US"/>
        </w:rPr>
        <w:t>Income deduction, expenses and hardships</w:t>
      </w:r>
    </w:p>
    <w:p w14:paraId="33C3C20E" w14:textId="77777777" w:rsidR="00D60C9C" w:rsidRPr="00D60C9C" w:rsidRDefault="00D60C9C" w:rsidP="001D572A">
      <w:pPr>
        <w:numPr>
          <w:ilvl w:val="1"/>
          <w:numId w:val="2"/>
        </w:numPr>
        <w:tabs>
          <w:tab w:val="num" w:pos="720"/>
        </w:tabs>
        <w:spacing w:after="0" w:line="240" w:lineRule="auto"/>
        <w:ind w:left="720"/>
        <w:rPr>
          <w:lang w:val="en-US"/>
        </w:rPr>
      </w:pPr>
      <w:r w:rsidRPr="00D60C9C">
        <w:rPr>
          <w:lang w:val="en-US"/>
        </w:rPr>
        <w:t>Income inclusion and exclusions</w:t>
      </w:r>
    </w:p>
    <w:p w14:paraId="77F8668E" w14:textId="77777777" w:rsidR="00D60C9C" w:rsidRPr="00D60C9C" w:rsidRDefault="00D60C9C" w:rsidP="001D572A">
      <w:pPr>
        <w:numPr>
          <w:ilvl w:val="1"/>
          <w:numId w:val="2"/>
        </w:numPr>
        <w:tabs>
          <w:tab w:val="num" w:pos="720"/>
        </w:tabs>
        <w:spacing w:after="0" w:line="240" w:lineRule="auto"/>
        <w:ind w:left="720"/>
        <w:rPr>
          <w:lang w:val="en-US"/>
        </w:rPr>
      </w:pPr>
      <w:r w:rsidRPr="00D60C9C">
        <w:rPr>
          <w:lang w:val="en-US"/>
        </w:rPr>
        <w:t>Interim reexaminations</w:t>
      </w:r>
    </w:p>
    <w:p w14:paraId="0F833CC4" w14:textId="77777777" w:rsidR="00D60C9C" w:rsidRPr="00D60C9C" w:rsidRDefault="00D60C9C" w:rsidP="001D572A">
      <w:pPr>
        <w:numPr>
          <w:ilvl w:val="1"/>
          <w:numId w:val="2"/>
        </w:numPr>
        <w:tabs>
          <w:tab w:val="num" w:pos="720"/>
        </w:tabs>
        <w:spacing w:after="0" w:line="240" w:lineRule="auto"/>
        <w:ind w:left="720"/>
        <w:rPr>
          <w:lang w:val="en-US"/>
        </w:rPr>
      </w:pPr>
      <w:r w:rsidRPr="00D60C9C">
        <w:rPr>
          <w:lang w:val="en-US"/>
        </w:rPr>
        <w:t>Net family assets</w:t>
      </w:r>
    </w:p>
    <w:p w14:paraId="38BEE353" w14:textId="77777777" w:rsidR="00D60C9C" w:rsidRPr="00D60C9C" w:rsidRDefault="00D60C9C" w:rsidP="001D572A">
      <w:pPr>
        <w:numPr>
          <w:ilvl w:val="1"/>
          <w:numId w:val="2"/>
        </w:numPr>
        <w:tabs>
          <w:tab w:val="num" w:pos="720"/>
        </w:tabs>
        <w:spacing w:after="0" w:line="240" w:lineRule="auto"/>
        <w:ind w:left="720"/>
        <w:rPr>
          <w:lang w:val="en-US"/>
        </w:rPr>
      </w:pPr>
      <w:r w:rsidRPr="00D60C9C">
        <w:rPr>
          <w:lang w:val="en-US"/>
        </w:rPr>
        <w:t>Public housing over-income rules</w:t>
      </w:r>
    </w:p>
    <w:p w14:paraId="0E23C2DE" w14:textId="77777777" w:rsidR="00D60C9C" w:rsidRPr="00D60C9C" w:rsidRDefault="00D60C9C" w:rsidP="001D572A">
      <w:pPr>
        <w:numPr>
          <w:ilvl w:val="1"/>
          <w:numId w:val="2"/>
        </w:numPr>
        <w:tabs>
          <w:tab w:val="num" w:pos="720"/>
        </w:tabs>
        <w:spacing w:after="0" w:line="240" w:lineRule="auto"/>
        <w:ind w:left="720"/>
        <w:rPr>
          <w:lang w:val="en-US"/>
        </w:rPr>
      </w:pPr>
      <w:r w:rsidRPr="00D60C9C">
        <w:rPr>
          <w:lang w:val="en-US"/>
        </w:rPr>
        <w:t>Verification</w:t>
      </w:r>
    </w:p>
    <w:p w14:paraId="0CF77EB7" w14:textId="0AFD29F6" w:rsidR="00D60C9C" w:rsidRPr="00D60C9C" w:rsidRDefault="00D60C9C" w:rsidP="001D572A">
      <w:pPr>
        <w:rPr>
          <w:lang w:val="en-US"/>
        </w:rPr>
      </w:pPr>
    </w:p>
    <w:sectPr w:rsidR="00D60C9C" w:rsidRPr="00D60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E0F0B"/>
    <w:multiLevelType w:val="multilevel"/>
    <w:tmpl w:val="5F6877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E96DA3"/>
    <w:multiLevelType w:val="hybridMultilevel"/>
    <w:tmpl w:val="C09E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C45493"/>
    <w:multiLevelType w:val="multilevel"/>
    <w:tmpl w:val="8364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9501312">
    <w:abstractNumId w:val="2"/>
  </w:num>
  <w:num w:numId="2" w16cid:durableId="1204053079">
    <w:abstractNumId w:val="0"/>
  </w:num>
  <w:num w:numId="3" w16cid:durableId="1743023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9C"/>
    <w:rsid w:val="001D572A"/>
    <w:rsid w:val="00524694"/>
    <w:rsid w:val="00896481"/>
    <w:rsid w:val="00C04177"/>
    <w:rsid w:val="00CC40D0"/>
    <w:rsid w:val="00D60C9C"/>
    <w:rsid w:val="00E9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7582"/>
  <w15:chartTrackingRefBased/>
  <w15:docId w15:val="{0FF024D8-4E36-489C-B4DB-9A9E8E3D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C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C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C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C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C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C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C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C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C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C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C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C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C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C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C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C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C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C9C"/>
    <w:rPr>
      <w:rFonts w:eastAsiaTheme="majorEastAsia" w:cstheme="majorBidi"/>
      <w:color w:val="272727" w:themeColor="text1" w:themeTint="D8"/>
    </w:rPr>
  </w:style>
  <w:style w:type="paragraph" w:styleId="Title">
    <w:name w:val="Title"/>
    <w:basedOn w:val="Normal"/>
    <w:next w:val="Normal"/>
    <w:link w:val="TitleChar"/>
    <w:uiPriority w:val="10"/>
    <w:qFormat/>
    <w:rsid w:val="00D60C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C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C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C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C9C"/>
    <w:pPr>
      <w:spacing w:before="160"/>
      <w:jc w:val="center"/>
    </w:pPr>
    <w:rPr>
      <w:i/>
      <w:iCs/>
      <w:color w:val="404040" w:themeColor="text1" w:themeTint="BF"/>
    </w:rPr>
  </w:style>
  <w:style w:type="character" w:customStyle="1" w:styleId="QuoteChar">
    <w:name w:val="Quote Char"/>
    <w:basedOn w:val="DefaultParagraphFont"/>
    <w:link w:val="Quote"/>
    <w:uiPriority w:val="29"/>
    <w:rsid w:val="00D60C9C"/>
    <w:rPr>
      <w:i/>
      <w:iCs/>
      <w:color w:val="404040" w:themeColor="text1" w:themeTint="BF"/>
    </w:rPr>
  </w:style>
  <w:style w:type="paragraph" w:styleId="ListParagraph">
    <w:name w:val="List Paragraph"/>
    <w:basedOn w:val="Normal"/>
    <w:uiPriority w:val="34"/>
    <w:qFormat/>
    <w:rsid w:val="00D60C9C"/>
    <w:pPr>
      <w:ind w:left="720"/>
      <w:contextualSpacing/>
    </w:pPr>
  </w:style>
  <w:style w:type="character" w:styleId="IntenseEmphasis">
    <w:name w:val="Intense Emphasis"/>
    <w:basedOn w:val="DefaultParagraphFont"/>
    <w:uiPriority w:val="21"/>
    <w:qFormat/>
    <w:rsid w:val="00D60C9C"/>
    <w:rPr>
      <w:i/>
      <w:iCs/>
      <w:color w:val="0F4761" w:themeColor="accent1" w:themeShade="BF"/>
    </w:rPr>
  </w:style>
  <w:style w:type="paragraph" w:styleId="IntenseQuote">
    <w:name w:val="Intense Quote"/>
    <w:basedOn w:val="Normal"/>
    <w:next w:val="Normal"/>
    <w:link w:val="IntenseQuoteChar"/>
    <w:uiPriority w:val="30"/>
    <w:qFormat/>
    <w:rsid w:val="00D60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C9C"/>
    <w:rPr>
      <w:i/>
      <w:iCs/>
      <w:color w:val="0F4761" w:themeColor="accent1" w:themeShade="BF"/>
    </w:rPr>
  </w:style>
  <w:style w:type="character" w:styleId="IntenseReference">
    <w:name w:val="Intense Reference"/>
    <w:basedOn w:val="DefaultParagraphFont"/>
    <w:uiPriority w:val="32"/>
    <w:qFormat/>
    <w:rsid w:val="00D60C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6881">
      <w:bodyDiv w:val="1"/>
      <w:marLeft w:val="0"/>
      <w:marRight w:val="0"/>
      <w:marTop w:val="0"/>
      <w:marBottom w:val="0"/>
      <w:divBdr>
        <w:top w:val="none" w:sz="0" w:space="0" w:color="auto"/>
        <w:left w:val="none" w:sz="0" w:space="0" w:color="auto"/>
        <w:bottom w:val="none" w:sz="0" w:space="0" w:color="auto"/>
        <w:right w:val="none" w:sz="0" w:space="0" w:color="auto"/>
      </w:divBdr>
      <w:divsChild>
        <w:div w:id="1771270906">
          <w:marLeft w:val="0"/>
          <w:marRight w:val="0"/>
          <w:marTop w:val="0"/>
          <w:marBottom w:val="0"/>
          <w:divBdr>
            <w:top w:val="none" w:sz="0" w:space="0" w:color="auto"/>
            <w:left w:val="none" w:sz="0" w:space="0" w:color="auto"/>
            <w:bottom w:val="none" w:sz="0" w:space="0" w:color="auto"/>
            <w:right w:val="none" w:sz="0" w:space="0" w:color="auto"/>
          </w:divBdr>
        </w:div>
      </w:divsChild>
    </w:div>
    <w:div w:id="68307475">
      <w:bodyDiv w:val="1"/>
      <w:marLeft w:val="0"/>
      <w:marRight w:val="0"/>
      <w:marTop w:val="0"/>
      <w:marBottom w:val="0"/>
      <w:divBdr>
        <w:top w:val="none" w:sz="0" w:space="0" w:color="auto"/>
        <w:left w:val="none" w:sz="0" w:space="0" w:color="auto"/>
        <w:bottom w:val="none" w:sz="0" w:space="0" w:color="auto"/>
        <w:right w:val="none" w:sz="0" w:space="0" w:color="auto"/>
      </w:divBdr>
      <w:divsChild>
        <w:div w:id="640816626">
          <w:marLeft w:val="0"/>
          <w:marRight w:val="0"/>
          <w:marTop w:val="0"/>
          <w:marBottom w:val="0"/>
          <w:divBdr>
            <w:top w:val="none" w:sz="0" w:space="0" w:color="auto"/>
            <w:left w:val="none" w:sz="0" w:space="0" w:color="auto"/>
            <w:bottom w:val="none" w:sz="0" w:space="0" w:color="auto"/>
            <w:right w:val="none" w:sz="0" w:space="0" w:color="auto"/>
          </w:divBdr>
        </w:div>
      </w:divsChild>
    </w:div>
    <w:div w:id="571349696">
      <w:bodyDiv w:val="1"/>
      <w:marLeft w:val="0"/>
      <w:marRight w:val="0"/>
      <w:marTop w:val="0"/>
      <w:marBottom w:val="0"/>
      <w:divBdr>
        <w:top w:val="none" w:sz="0" w:space="0" w:color="auto"/>
        <w:left w:val="none" w:sz="0" w:space="0" w:color="auto"/>
        <w:bottom w:val="none" w:sz="0" w:space="0" w:color="auto"/>
        <w:right w:val="none" w:sz="0" w:space="0" w:color="auto"/>
      </w:divBdr>
    </w:div>
    <w:div w:id="604075195">
      <w:bodyDiv w:val="1"/>
      <w:marLeft w:val="0"/>
      <w:marRight w:val="0"/>
      <w:marTop w:val="0"/>
      <w:marBottom w:val="0"/>
      <w:divBdr>
        <w:top w:val="none" w:sz="0" w:space="0" w:color="auto"/>
        <w:left w:val="none" w:sz="0" w:space="0" w:color="auto"/>
        <w:bottom w:val="none" w:sz="0" w:space="0" w:color="auto"/>
        <w:right w:val="none" w:sz="0" w:space="0" w:color="auto"/>
      </w:divBdr>
    </w:div>
    <w:div w:id="782696902">
      <w:bodyDiv w:val="1"/>
      <w:marLeft w:val="0"/>
      <w:marRight w:val="0"/>
      <w:marTop w:val="0"/>
      <w:marBottom w:val="0"/>
      <w:divBdr>
        <w:top w:val="none" w:sz="0" w:space="0" w:color="auto"/>
        <w:left w:val="none" w:sz="0" w:space="0" w:color="auto"/>
        <w:bottom w:val="none" w:sz="0" w:space="0" w:color="auto"/>
        <w:right w:val="none" w:sz="0" w:space="0" w:color="auto"/>
      </w:divBdr>
    </w:div>
    <w:div w:id="19108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Niezgodzki</dc:creator>
  <cp:keywords/>
  <dc:description/>
  <cp:lastModifiedBy>Linda Niezgodzki</cp:lastModifiedBy>
  <cp:revision>3</cp:revision>
  <dcterms:created xsi:type="dcterms:W3CDTF">2024-10-30T22:12:00Z</dcterms:created>
  <dcterms:modified xsi:type="dcterms:W3CDTF">2024-12-11T02:18:00Z</dcterms:modified>
</cp:coreProperties>
</file>